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楷体_GB2312" w:hAnsi="方正小标宋简体" w:eastAsia="楷体_GB2312" w:cs="方正小标宋简体"/>
          <w:sz w:val="32"/>
          <w:szCs w:val="32"/>
        </w:rPr>
      </w:pPr>
      <w:r>
        <w:rPr>
          <w:rFonts w:ascii="楷体_GB2312" w:hAnsi="方正小标宋简体" w:eastAsia="楷体_GB2312" w:cs="方正小标宋简体"/>
          <w:sz w:val="32"/>
          <w:szCs w:val="32"/>
        </w:rPr>
        <w:t>附件：</w:t>
      </w:r>
    </w:p>
    <w:p>
      <w:pPr>
        <w:jc w:val="center"/>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扬州建工控股公司</w:t>
      </w:r>
    </w:p>
    <w:p>
      <w:pPr>
        <w:jc w:val="center"/>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“我为群众办实事”实践活动项目清单</w:t>
      </w:r>
    </w:p>
    <w:tbl>
      <w:tblPr>
        <w:tblStyle w:val="5"/>
        <w:tblW w:w="16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57"/>
        <w:gridCol w:w="7900"/>
        <w:gridCol w:w="1516"/>
        <w:gridCol w:w="211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67" w:type="dxa"/>
            <w:vAlign w:val="center"/>
          </w:tcPr>
          <w:p>
            <w:pPr>
              <w:spacing w:line="300" w:lineRule="exact"/>
              <w:jc w:val="center"/>
              <w:rPr>
                <w:rFonts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序</w:t>
            </w:r>
          </w:p>
          <w:p>
            <w:pPr>
              <w:spacing w:line="300" w:lineRule="exact"/>
              <w:jc w:val="center"/>
              <w:rPr>
                <w:rFonts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号</w:t>
            </w:r>
          </w:p>
        </w:tc>
        <w:tc>
          <w:tcPr>
            <w:tcW w:w="3157" w:type="dxa"/>
            <w:vAlign w:val="center"/>
          </w:tcPr>
          <w:p>
            <w:pPr>
              <w:spacing w:line="300" w:lineRule="exact"/>
              <w:jc w:val="center"/>
              <w:rPr>
                <w:rFonts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项 目 名 称</w:t>
            </w:r>
          </w:p>
        </w:tc>
        <w:tc>
          <w:tcPr>
            <w:tcW w:w="7900" w:type="dxa"/>
            <w:vAlign w:val="center"/>
          </w:tcPr>
          <w:p>
            <w:pPr>
              <w:spacing w:line="300" w:lineRule="exact"/>
              <w:jc w:val="center"/>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项 目</w:t>
            </w:r>
            <w:r>
              <w:rPr>
                <w:rFonts w:hint="eastAsia" w:ascii="方正小标宋简体" w:hAnsi="方正小标宋简体" w:eastAsia="方正小标宋简体" w:cs="方正小标宋简体"/>
                <w:sz w:val="28"/>
                <w:szCs w:val="36"/>
                <w:lang w:val="en-US" w:eastAsia="zh-CN"/>
              </w:rPr>
              <w:t xml:space="preserve"> </w:t>
            </w:r>
            <w:r>
              <w:rPr>
                <w:rFonts w:hint="eastAsia" w:ascii="方正小标宋简体" w:hAnsi="方正小标宋简体" w:eastAsia="方正小标宋简体" w:cs="方正小标宋简体"/>
                <w:sz w:val="28"/>
                <w:szCs w:val="36"/>
              </w:rPr>
              <w:t>内 容</w:t>
            </w:r>
          </w:p>
        </w:tc>
        <w:tc>
          <w:tcPr>
            <w:tcW w:w="1516" w:type="dxa"/>
            <w:vAlign w:val="center"/>
          </w:tcPr>
          <w:p>
            <w:pPr>
              <w:spacing w:line="300" w:lineRule="exact"/>
              <w:jc w:val="center"/>
              <w:rPr>
                <w:rFonts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领办领导</w:t>
            </w:r>
          </w:p>
        </w:tc>
        <w:tc>
          <w:tcPr>
            <w:tcW w:w="2112" w:type="dxa"/>
            <w:vAlign w:val="center"/>
          </w:tcPr>
          <w:p>
            <w:pPr>
              <w:spacing w:line="300" w:lineRule="exact"/>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责任部门</w:t>
            </w:r>
          </w:p>
        </w:tc>
        <w:tc>
          <w:tcPr>
            <w:tcW w:w="1365" w:type="dxa"/>
            <w:vAlign w:val="center"/>
          </w:tcPr>
          <w:p>
            <w:pPr>
              <w:spacing w:line="300" w:lineRule="exact"/>
              <w:jc w:val="center"/>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深化建工、华建</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体制机制改革</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在推动国企深化改革方面，着力于建工控股和江苏华建公司的体制、机制改革，激发企业活力，适应市场发展需求；着力提升江苏华建对于工程项目的实际施工管理能力，在企业发展过程中掌握更大的主动权。</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王  宏</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办公室、党群工作部、人事部（人力资源部）、市场发展部、工程管理部、华建相关分支机构</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“一企一策”</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推进解决发展瓶颈</w:t>
            </w:r>
          </w:p>
        </w:tc>
        <w:tc>
          <w:tcPr>
            <w:tcW w:w="7900" w:type="dxa"/>
            <w:vAlign w:val="center"/>
          </w:tcPr>
          <w:p>
            <w:pPr>
              <w:spacing w:line="300" w:lineRule="exact"/>
              <w:ind w:firstLine="480" w:firstLineChars="200"/>
              <w:jc w:val="left"/>
              <w:rPr>
                <w:rFonts w:ascii="方正小标宋简体" w:hAnsi="方正小标宋简体" w:eastAsia="方正小标宋简体" w:cs="方正小标宋简体"/>
                <w:sz w:val="28"/>
                <w:szCs w:val="36"/>
              </w:rPr>
            </w:pPr>
            <w:r>
              <w:rPr>
                <w:rFonts w:hint="eastAsia" w:ascii="方正仿宋_GBK" w:hAnsi="方正仿宋_GBK" w:eastAsia="方正仿宋_GBK" w:cs="方正仿宋_GBK"/>
                <w:sz w:val="24"/>
              </w:rPr>
              <w:t>开展全系统各板块工作调研，对系统改革整体发展情况作深入调查研究，重点掌握各单位面临的实际困难，研究制定下步工作打算。</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企管部</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实施复合培养</w:t>
            </w:r>
          </w:p>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加快人才成长</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助力改革攻坚</w:t>
            </w:r>
          </w:p>
        </w:tc>
        <w:tc>
          <w:tcPr>
            <w:tcW w:w="7900" w:type="dxa"/>
            <w:vAlign w:val="center"/>
          </w:tcPr>
          <w:p>
            <w:pPr>
              <w:spacing w:line="300" w:lineRule="exact"/>
              <w:ind w:firstLine="480" w:firstLineChars="200"/>
              <w:jc w:val="left"/>
              <w:rPr>
                <w:rFonts w:ascii="方正小标宋简体" w:hAnsi="方正小标宋简体" w:eastAsia="方正小标宋简体" w:cs="方正小标宋简体"/>
                <w:sz w:val="28"/>
                <w:szCs w:val="36"/>
              </w:rPr>
            </w:pPr>
            <w:r>
              <w:rPr>
                <w:rFonts w:hint="eastAsia" w:ascii="方正仿宋_GBK" w:hAnsi="方正仿宋_GBK" w:eastAsia="方正仿宋_GBK" w:cs="方正仿宋_GBK"/>
                <w:sz w:val="24"/>
              </w:rPr>
              <w:t>加大后备人才培养的力度，拓宽培训和学习的深度，提升全系统人才体系建设的广度。</w:t>
            </w:r>
            <w:bookmarkStart w:id="0" w:name="_GoBack"/>
            <w:bookmarkEnd w:id="0"/>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人事部</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（人力资源部）</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设立科技公司</w:t>
            </w:r>
          </w:p>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打造人才培养</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科技腾飞新引擎</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研究设立公司独资或股份制科技公司，作为企业发展人才引进，招才引智，培养技经管理人才的平台，并开展对外经营业务。</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华建深圳分公司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31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二级公司升格优化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“十四五”市场布局</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推动江苏华建在“十四五”期间重新进行市场战略布局，拟推进成都分公司升格为区域公司，划由总部统一管理，并充分利用好南方区域协同发展联席会、京沪扬区域协同发展联席会等交流平台，实现江苏华建“东西南北中”五大区域市场竞相协同发展。</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宗有农</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华建深圳分公司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6</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一把手带队</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检查抓安全生产</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每季度带队参加公司安全综合大检查，并开展项目部“人证岗合一”专项检查，以身作则带动工程处一把手重视安全抓安全，推进基层项目部提高施工现场管理水平。</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华建深圳分公司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7</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开展年中工作调研</w:t>
            </w:r>
          </w:p>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研究、部署</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公司下一步发展</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开展年中经济工作调研，对江苏华建面上整体发展情况作深入调查研究，重点掌握各公司面临的实际困难，研究制定下步工作打算。</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华建深圳分公司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8</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深化人事薪酬改革</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着力激发内部活力</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牵头建工控股、江苏华建人事、薪酬制度改革工作，推进“定岗定编”，建立多元薪酬体系，增强薪资福利的激励性和保障性，进一步优化人力资源配置，打造高效管理团队。</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钱启明</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人事部</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（人力资源部）</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9</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村企联建</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助力乡村振兴</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通过对系统4家联建村企进行走访调研、推动项目进展，总结经验做法，推动千企联千村、共走振兴路行动深入开展。</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党群工作部</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3157" w:type="dxa"/>
            <w:vAlign w:val="center"/>
          </w:tcPr>
          <w:p>
            <w:pPr>
              <w:spacing w:line="300" w:lineRule="exact"/>
              <w:jc w:val="center"/>
              <w:rPr>
                <w:rFonts w:hint="default" w:ascii="方正仿宋_GBK" w:hAnsi="方正仿宋_GBK" w:eastAsia="方正仿宋_GBK" w:cs="方正仿宋_GBK"/>
                <w:b w:val="0"/>
                <w:bCs w:val="0"/>
                <w:sz w:val="24"/>
                <w:lang w:val="en-US" w:eastAsia="zh-CN"/>
              </w:rPr>
            </w:pPr>
            <w:r>
              <w:rPr>
                <w:rFonts w:hint="eastAsia" w:ascii="方正仿宋_GBK" w:hAnsi="方正仿宋_GBK" w:eastAsia="方正仿宋_GBK" w:cs="方正仿宋_GBK"/>
                <w:b w:val="0"/>
                <w:bCs w:val="0"/>
                <w:sz w:val="24"/>
              </w:rPr>
              <w:t>开展</w:t>
            </w:r>
            <w:r>
              <w:rPr>
                <w:rFonts w:hint="eastAsia" w:ascii="方正仿宋_GBK" w:hAnsi="方正仿宋_GBK" w:eastAsia="方正仿宋_GBK" w:cs="方正仿宋_GBK"/>
                <w:b w:val="0"/>
                <w:bCs w:val="0"/>
                <w:sz w:val="24"/>
                <w:lang w:val="en-US" w:eastAsia="zh-CN"/>
              </w:rPr>
              <w:t>党群交流</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加强内部</w:t>
            </w:r>
            <w:r>
              <w:rPr>
                <w:rFonts w:hint="eastAsia" w:ascii="方正仿宋_GBK" w:hAnsi="方正仿宋_GBK" w:eastAsia="方正仿宋_GBK" w:cs="方正仿宋_GBK"/>
                <w:b w:val="0"/>
                <w:bCs w:val="0"/>
                <w:sz w:val="24"/>
                <w:lang w:val="en-US" w:eastAsia="zh-CN"/>
              </w:rPr>
              <w:t>联</w:t>
            </w:r>
            <w:r>
              <w:rPr>
                <w:rFonts w:hint="eastAsia" w:ascii="方正仿宋_GBK" w:hAnsi="方正仿宋_GBK" w:eastAsia="方正仿宋_GBK" w:cs="方正仿宋_GBK"/>
                <w:b w:val="0"/>
                <w:bCs w:val="0"/>
                <w:sz w:val="24"/>
              </w:rPr>
              <w:t>动</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加强在扬各单位之间交流联动，通过统一开展党日活动、青年交流会、项目参观学习交流等活动形式，加强内部互动，共同提升发展。</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党群工作部</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11</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化解PPP项目障碍</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推动平稳落地</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与岳池县委、县政府主要负责人沟通协调，推动SPV公司在服务费收取、运营协议签订、财评审计等方面的工作。</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程  杰</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华建岳池分公司SPV公司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12</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解决法务遗留问题</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防控经营风险</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加大对前方遗留问题法务工作的支持力度，如原重庆分公司佳程广场、麻柳项目、石屏华辉广场、官盛大道二期等，常态化安排人员与有关各方沟通，在现有基础上加大分析研究，防范风险。</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华建岳池分公司SPV公司、法务部</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13</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深入开展人才引进</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促进企业高质量发展</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帮助项目团队引进一级建造师等紧缺人才。</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王吉骞</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华建上海分公司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14</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推进基层人员技能提升</w:t>
            </w:r>
          </w:p>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打造企业标准化</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管理新模式</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组织大型机械设备管理，施工用电管理，工程创优策划和科技成果申报等专题培训，以提高项目团队的管理水平和业务技能。</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华建上海分公司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开展职称申报培训</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形成成果转化</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组织工程处及项目团队开展技术职称申报辅导工作，促进技术人才的成长和提升。</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华建上海分公司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16</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深耕目标市场</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抢抓历史机遇</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帮助徐州项目团队推进与徐州经济开发区战略合作各项工作落实，促进徐州市场项目落实和稳固发展。</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华建上海分公司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17</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加大经营力度</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促进健康可持续发展</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帮助上海分公司缺乏稳定市场及客户的相关工程处及项目团队积极捕捉项目信息，深耕目标市场和优质客户，促进健康可持续发展。</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华建上海分公司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18</w:t>
            </w:r>
          </w:p>
        </w:tc>
        <w:tc>
          <w:tcPr>
            <w:tcW w:w="3157" w:type="dxa"/>
            <w:vAlign w:val="center"/>
          </w:tcPr>
          <w:p>
            <w:pPr>
              <w:spacing w:line="300" w:lineRule="exact"/>
              <w:jc w:val="center"/>
              <w:rPr>
                <w:rFonts w:hint="eastAsia" w:ascii="方正仿宋_GBK" w:hAnsi="方正仿宋_GBK" w:eastAsia="方正仿宋_GBK" w:cs="方正仿宋_GBK"/>
                <w:b w:val="0"/>
                <w:bCs w:val="0"/>
                <w:sz w:val="24"/>
                <w:lang w:eastAsia="zh-CN"/>
              </w:rPr>
            </w:pPr>
            <w:r>
              <w:rPr>
                <w:rFonts w:hint="eastAsia" w:ascii="方正仿宋_GBK" w:hAnsi="方正仿宋_GBK" w:eastAsia="方正仿宋_GBK" w:cs="方正仿宋_GBK"/>
                <w:b w:val="0"/>
                <w:bCs w:val="0"/>
                <w:sz w:val="24"/>
                <w:lang w:eastAsia="zh-CN"/>
              </w:rPr>
              <w:t>聚焦关键少数</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选送书籍到基层</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向基层单位赠送纪检监察常用法规专业书籍。</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陈五湖</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纪委办公室</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19</w:t>
            </w:r>
          </w:p>
        </w:tc>
        <w:tc>
          <w:tcPr>
            <w:tcW w:w="31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lang w:eastAsia="zh-CN"/>
              </w:rPr>
            </w:pPr>
            <w:r>
              <w:rPr>
                <w:rFonts w:hint="eastAsia" w:ascii="方正仿宋_GBK" w:hAnsi="方正仿宋_GBK" w:eastAsia="方正仿宋_GBK" w:cs="方正仿宋_GBK"/>
                <w:b w:val="0"/>
                <w:bCs w:val="0"/>
                <w:sz w:val="24"/>
                <w:lang w:eastAsia="zh-CN"/>
              </w:rPr>
              <w:t>提质纪检工作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lang w:eastAsia="zh-CN"/>
              </w:rPr>
              <w:t>开展</w:t>
            </w:r>
            <w:r>
              <w:rPr>
                <w:rFonts w:hint="eastAsia" w:ascii="方正仿宋_GBK" w:hAnsi="方正仿宋_GBK" w:eastAsia="方正仿宋_GBK" w:cs="方正仿宋_GBK"/>
                <w:b w:val="0"/>
                <w:bCs w:val="0"/>
                <w:sz w:val="24"/>
              </w:rPr>
              <w:t>辅导到基层</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为基层单位开展全面从严治党政策与形势专题辅导2场以上。</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纪委办公室</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3157" w:type="dxa"/>
            <w:vAlign w:val="center"/>
          </w:tcPr>
          <w:p>
            <w:pPr>
              <w:spacing w:line="300" w:lineRule="exact"/>
              <w:ind w:firstLine="480" w:firstLineChars="200"/>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lang w:eastAsia="zh-CN"/>
              </w:rPr>
              <w:t>解开“互保贷款”之“结”</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协调扬建、邗建，解决与华建融资互保问题。</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李长栋</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财务部</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华建金融板块</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21</w:t>
            </w:r>
          </w:p>
        </w:tc>
        <w:tc>
          <w:tcPr>
            <w:tcW w:w="3157" w:type="dxa"/>
            <w:vAlign w:val="center"/>
          </w:tcPr>
          <w:p>
            <w:pPr>
              <w:spacing w:line="300" w:lineRule="exact"/>
              <w:ind w:firstLine="480" w:firstLineChars="200"/>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lang w:eastAsia="zh-CN"/>
              </w:rPr>
              <w:t>多举措助力合作方，缓解融资难融资贵</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解决华建合作方融资难、融资贵问题。</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财务部</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华建金融板块</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22</w:t>
            </w:r>
          </w:p>
        </w:tc>
        <w:tc>
          <w:tcPr>
            <w:tcW w:w="31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通过定点挂钩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推动项目过程创优</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联系挂钩鹏鼎时代大厦项目，在建项目进行全过程跟踪，包括全过程参与项目创优策划、房建工程质量通病治理、全过程把控专业分包工程等。</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吴碧桥</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工程管理部</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华建深圳分公司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工程</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结束时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23</w:t>
            </w:r>
          </w:p>
        </w:tc>
        <w:tc>
          <w:tcPr>
            <w:tcW w:w="3157" w:type="dxa"/>
            <w:vAlign w:val="center"/>
          </w:tcPr>
          <w:p>
            <w:pPr>
              <w:spacing w:line="300" w:lineRule="exact"/>
              <w:jc w:val="center"/>
              <w:rPr>
                <w:rFonts w:hint="eastAsia"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面向一线打造</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务实高效人才培养体系</w:t>
            </w: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加速技术人才培养，发挥专业特长，根据基层项目管理及质量创优需求，到施工一线，为基层单位和基层员工进行培训和指导。</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工程管理部</w:t>
            </w:r>
          </w:p>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华建深圳分公司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24</w:t>
            </w:r>
          </w:p>
        </w:tc>
        <w:tc>
          <w:tcPr>
            <w:tcW w:w="3157" w:type="dxa"/>
            <w:vMerge w:val="restart"/>
            <w:vAlign w:val="center"/>
          </w:tcPr>
          <w:p>
            <w:pPr>
              <w:spacing w:line="300" w:lineRule="exact"/>
              <w:jc w:val="center"/>
              <w:rPr>
                <w:rFonts w:hint="eastAsia" w:ascii="方正仿宋_GBK" w:hAnsi="方正仿宋_GBK" w:eastAsia="方正仿宋_GBK" w:cs="方正仿宋_GBK"/>
                <w:b w:val="0"/>
                <w:bCs w:val="0"/>
                <w:sz w:val="24"/>
                <w:lang w:eastAsia="zh-CN"/>
              </w:rPr>
            </w:pPr>
            <w:r>
              <w:rPr>
                <w:rFonts w:hint="eastAsia" w:ascii="方正仿宋_GBK" w:hAnsi="方正仿宋_GBK" w:eastAsia="方正仿宋_GBK" w:cs="方正仿宋_GBK"/>
                <w:b w:val="0"/>
                <w:bCs w:val="0"/>
                <w:sz w:val="24"/>
              </w:rPr>
              <w:t>着力化解风险</w:t>
            </w:r>
          </w:p>
          <w:p>
            <w:pPr>
              <w:spacing w:line="300" w:lineRule="exact"/>
              <w:jc w:val="center"/>
              <w:rPr>
                <w:rFonts w:ascii="方正仿宋_GBK" w:hAnsi="方正仿宋_GBK" w:eastAsia="方正仿宋_GBK" w:cs="方正仿宋_GBK"/>
                <w:b w:val="0"/>
                <w:bCs w:val="0"/>
                <w:sz w:val="24"/>
              </w:rPr>
            </w:pPr>
            <w:r>
              <w:rPr>
                <w:rFonts w:hint="eastAsia" w:ascii="方正仿宋_GBK" w:hAnsi="方正仿宋_GBK" w:eastAsia="方正仿宋_GBK" w:cs="方正仿宋_GBK"/>
                <w:b w:val="0"/>
                <w:bCs w:val="0"/>
                <w:sz w:val="24"/>
              </w:rPr>
              <w:t>助力企业发展</w:t>
            </w:r>
          </w:p>
        </w:tc>
        <w:tc>
          <w:tcPr>
            <w:tcW w:w="7900" w:type="dxa"/>
            <w:vAlign w:val="center"/>
          </w:tcPr>
          <w:p>
            <w:pPr>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积极与华容中央广场主要商户好爱家超市、艺贝尔游乐城就商业运营方案进行沟通，争取对方的配合和支持，以顺利完成运营调整和规划。主动与华容市物管处沟通，争取自营的物业公司备案成功，实现中央广场物业分成两个区域管理，解决商场运营与物业的矛盾，稳定租金收入。</w:t>
            </w:r>
          </w:p>
        </w:tc>
        <w:tc>
          <w:tcPr>
            <w:tcW w:w="1516" w:type="dxa"/>
            <w:vMerge w:val="restart"/>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缪国枢</w:t>
            </w: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华建珠海分公司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67" w:type="dxa"/>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25</w:t>
            </w:r>
          </w:p>
        </w:tc>
        <w:tc>
          <w:tcPr>
            <w:tcW w:w="3157" w:type="dxa"/>
            <w:vMerge w:val="continue"/>
            <w:vAlign w:val="center"/>
          </w:tcPr>
          <w:p>
            <w:pPr>
              <w:spacing w:line="300" w:lineRule="exact"/>
              <w:ind w:firstLine="480" w:firstLineChars="200"/>
              <w:rPr>
                <w:rFonts w:ascii="方正仿宋_GBK" w:hAnsi="方正仿宋_GBK" w:eastAsia="方正仿宋_GBK" w:cs="方正仿宋_GBK"/>
                <w:b w:val="0"/>
                <w:bCs w:val="0"/>
                <w:sz w:val="24"/>
              </w:rPr>
            </w:pPr>
          </w:p>
        </w:tc>
        <w:tc>
          <w:tcPr>
            <w:tcW w:w="7900" w:type="dxa"/>
            <w:vAlign w:val="center"/>
          </w:tcPr>
          <w:p>
            <w:pPr>
              <w:spacing w:line="30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推动第二项目部鸿吉府小区了尾及竣工验收工作，化解该项目部以房抵款的债务暴发风险。</w:t>
            </w:r>
          </w:p>
        </w:tc>
        <w:tc>
          <w:tcPr>
            <w:tcW w:w="1516" w:type="dxa"/>
            <w:vMerge w:val="continue"/>
            <w:vAlign w:val="center"/>
          </w:tcPr>
          <w:p>
            <w:pPr>
              <w:spacing w:line="300" w:lineRule="exact"/>
              <w:jc w:val="center"/>
              <w:rPr>
                <w:rFonts w:hint="eastAsia" w:ascii="方正仿宋_GBK" w:hAnsi="方正仿宋_GBK" w:eastAsia="方正仿宋_GBK" w:cs="方正仿宋_GBK"/>
                <w:sz w:val="24"/>
              </w:rPr>
            </w:pPr>
          </w:p>
        </w:tc>
        <w:tc>
          <w:tcPr>
            <w:tcW w:w="2112"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华建珠海分公司</w:t>
            </w:r>
          </w:p>
        </w:tc>
        <w:tc>
          <w:tcPr>
            <w:tcW w:w="1365" w:type="dxa"/>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6-12月</w:t>
            </w:r>
          </w:p>
        </w:tc>
      </w:tr>
    </w:tbl>
    <w:p>
      <w:pPr>
        <w:jc w:val="center"/>
      </w:pPr>
    </w:p>
    <w:sectPr>
      <w:footerReference r:id="rId3" w:type="default"/>
      <w:pgSz w:w="16838" w:h="11906" w:orient="landscape"/>
      <w:pgMar w:top="1406"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1299"/>
    <w:rsid w:val="001C3E7C"/>
    <w:rsid w:val="00303870"/>
    <w:rsid w:val="0035492F"/>
    <w:rsid w:val="0041581A"/>
    <w:rsid w:val="00457133"/>
    <w:rsid w:val="00601299"/>
    <w:rsid w:val="00603A15"/>
    <w:rsid w:val="006C1B91"/>
    <w:rsid w:val="007C0910"/>
    <w:rsid w:val="00A24432"/>
    <w:rsid w:val="00D720D4"/>
    <w:rsid w:val="00F01502"/>
    <w:rsid w:val="01901EF1"/>
    <w:rsid w:val="097A50F4"/>
    <w:rsid w:val="0CE13938"/>
    <w:rsid w:val="13AF59B7"/>
    <w:rsid w:val="1C047CCF"/>
    <w:rsid w:val="20CD7874"/>
    <w:rsid w:val="25BF669E"/>
    <w:rsid w:val="264315BE"/>
    <w:rsid w:val="26BB77A5"/>
    <w:rsid w:val="2C5B3356"/>
    <w:rsid w:val="318E75AB"/>
    <w:rsid w:val="36186ED8"/>
    <w:rsid w:val="38A20E1A"/>
    <w:rsid w:val="404A4C59"/>
    <w:rsid w:val="40595DC6"/>
    <w:rsid w:val="4C026E50"/>
    <w:rsid w:val="4DF94BB5"/>
    <w:rsid w:val="509C6875"/>
    <w:rsid w:val="51C41E10"/>
    <w:rsid w:val="56342AEE"/>
    <w:rsid w:val="5CE97761"/>
    <w:rsid w:val="5E9B428C"/>
    <w:rsid w:val="6F8D3B78"/>
    <w:rsid w:val="708E19A2"/>
    <w:rsid w:val="78F61F6E"/>
    <w:rsid w:val="7B675033"/>
    <w:rsid w:val="7DF45951"/>
    <w:rsid w:val="7F121BE1"/>
    <w:rsid w:val="7F5D6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268</Words>
  <Characters>1530</Characters>
  <Lines>12</Lines>
  <Paragraphs>3</Paragraphs>
  <TotalTime>18</TotalTime>
  <ScaleCrop>false</ScaleCrop>
  <LinksUpToDate>false</LinksUpToDate>
  <CharactersWithSpaces>1795</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2021-05-17T03:16:00Z</dcterms:created>
  <dc:creator>user</dc:creator>
  <cp:lastModifiedBy>吾汤吾水</cp:lastModifiedBy>
  <cp:lastPrinted>2021-05-18T05:29:00Z</cp:lastPrinted>
  <dcterms:modified xsi:type="dcterms:W3CDTF">2021-06-20T07:10:43Z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KSOSaveFontToCloudKey">
    <vt:lpwstr>421997786_btnclosed</vt:lpwstr>
  </property>
  <property fmtid="{D5CDD505-2E9C-101B-9397-08002B2CF9AE}" pid="4" name="ICV">
    <vt:lpwstr>AF713CE9A548433F91E89CC027F9C8D8</vt:lpwstr>
  </property>
</Properties>
</file>